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Luke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7">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8">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29">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30">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31">
        <w:r>
          <w:rPr>
            <w:color w:val="0000EE"/>
            <w:u w:val="single"/>
          </w:rPr>
          <w:t>2</w:t>
        </w:r>
      </w:hyperlink>
      <w:r>
        <w:t xml:space="preserve">Some copies of the ancient Greek text have his father's name, </w:t>
      </w:r>
      <w:r>
        <w:t xml:space="preserve">Joseph </w:t>
      </w:r>
      <w:r>
        <w:t xml:space="preserve"> . </w:t>
      </w:r>
      <w:hyperlink r:id="rId32">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7">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30">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 xml:space="preserve">Now after these things, the Lord appointed seventy </w:t>
      </w:r>
      <w:hyperlink r:id="rId27">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30">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7">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30">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7">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30">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7">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30">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7">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30">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target-3" TargetMode="External"/><Relationship Id="rId30" Type="http://schemas.openxmlformats.org/officeDocument/2006/relationships/hyperlink" Target="#footnote-caller-1" TargetMode="External"/><Relationship Id="rId31" Type="http://schemas.openxmlformats.org/officeDocument/2006/relationships/hyperlink" Target="#footnote-caller-2"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