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John</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7">
        <w:r>
          <w:rPr>
            <w:color w:val="0000EE"/>
            <w:u w:val="single"/>
          </w:rPr>
          <w:t>1</w:t>
        </w:r>
      </w:hyperlink>
      <w:r>
        <w:rPr>
          <w:vertAlign w:val="superscript"/>
        </w:rPr>
        <w:t>4</w:t>
      </w:r>
      <w:hyperlink r:id="rId28">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9">
        <w:r>
          <w:rPr>
            <w:color w:val="0000EE"/>
            <w:u w:val="single"/>
          </w:rPr>
          <w:t>1</w:t>
        </w:r>
      </w:hyperlink>
      <w:r>
        <w:t xml:space="preserve">The best ancient copies do not have the phrase, </w:t>
      </w:r>
      <w:r>
        <w:t xml:space="preserve">waiting for the moving of the water </w:t>
      </w:r>
      <w:r>
        <w:t xml:space="preserve">. </w:t>
      </w:r>
      <w:hyperlink r:id="rId30">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7">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9">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7">
        <w:r>
          <w:rPr>
            <w:color w:val="0000EE"/>
            <w:u w:val="single"/>
          </w:rPr>
          <w:t>1</w:t>
        </w:r>
      </w:hyperlink>
      <w:r>
        <w:t xml:space="preserve"> [Then everyone went to his own house.</w:t>
      </w:r>
    </w:p>
    <w:p>
      <w:pPr>
        <w:pBdr>
          <w:bottom w:val="single" w:sz="6" w:space="1" w:color="auto"/>
        </w:pBdr>
      </w:pPr>
      <w:hyperlink r:id="rId29">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hyperlink r:id="rId27">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8">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9">
        <w:r>
          <w:rPr>
            <w:color w:val="0000EE"/>
            <w:u w:val="single"/>
          </w:rPr>
          <w:t>1</w:t>
        </w:r>
      </w:hyperlink>
      <w:r>
        <w:t xml:space="preserve">See the note on John 7:53. </w:t>
      </w:r>
      <w:hyperlink r:id="rId30">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