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Peter, 2 Peter, Hebrews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1">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2">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1">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2">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1">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2">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1">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2">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1">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2">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1">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2">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1">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2">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1">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3">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24">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2">
        <w:r>
          <w:rPr>
            <w:color w:val="0000EE"/>
            <w:u w:val="single"/>
          </w:rPr>
          <w:t>1</w:t>
        </w:r>
      </w:hyperlink>
      <w:r>
        <w:t xml:space="preserve">Some important and ancient Greek copies read, </w:t>
      </w:r>
      <w:r>
        <w:t xml:space="preserve">to be kept in pits of darkness until the judgment </w:t>
      </w:r>
      <w:r>
        <w:t xml:space="preserve"> , </w:t>
      </w:r>
      <w:hyperlink r:id="rId25">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26">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1">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2">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target-3"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