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Ephesians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1">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2">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3">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24">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caller-1"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