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Acts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0">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1">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1">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1">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target-3"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