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1">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2">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1">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2">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