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2 Timothy</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عيسى المسيح , وذية بحسب مشيئة الله واتمام لوعده بأنهو عيدي الحياة لمن هو مؤمن بعيسى المسيح .. </w:t>
      </w:r>
      <w:r>
        <w:rPr>
          <w:vertAlign w:val="superscript"/>
        </w:rPr>
        <w:t>2</w:t>
      </w:r>
      <w:r>
        <w:t>لا عند : ولدي الغالي تيمو تاوس . عليك النعمة والرحمة والسلام من الله أبونا وعيسى المسيح مولانا .</w:t>
      </w:r>
      <w:r>
        <w:rPr>
          <w:vertAlign w:val="superscript"/>
        </w:rPr>
        <w:t>3</w:t>
      </w:r>
      <w:r>
        <w:t xml:space="preserve">وأشكر الله أذي بين أعبده بنية صافية , سعما كان بيعبده أبائي وجدادي , وأذكرك دايمآ وفي كل وقت في دعائي في اليل وبالنهار .. </w:t>
      </w:r>
      <w:r>
        <w:rPr>
          <w:vertAlign w:val="superscript"/>
        </w:rPr>
        <w:t>4</w:t>
      </w:r>
      <w:r>
        <w:t xml:space="preserve">وأتذكر دموعك , وأشتاقلك وأشتي أبسرك علميد اتعبى فرحة .. </w:t>
      </w:r>
      <w:r>
        <w:rPr>
          <w:vertAlign w:val="superscript"/>
        </w:rPr>
        <w:t>5</w:t>
      </w:r>
      <w:r>
        <w:t>وأتذكر والكل أيمانك الصادق , وذيه الأيمان ذي حل بالبداية في قلب جدتك لويسة , ومن بعدها في قلب أمك فايزة , وأنا متأكد بأنهو فيك أنت والكل ..</w:t>
      </w:r>
      <w:r>
        <w:rPr>
          <w:vertAlign w:val="superscript"/>
        </w:rPr>
        <w:t>6</w:t>
      </w:r>
      <w:r>
        <w:t xml:space="preserve">وعلميد ذيه بين أذكرك وأشتيك تشعل الموهبة ذي أداها الله لك لا ما طرحت يدي عليك .. </w:t>
      </w:r>
      <w:r>
        <w:rPr>
          <w:vertAlign w:val="superscript"/>
        </w:rPr>
        <w:t>7</w:t>
      </w:r>
      <w:r>
        <w:t>لأن الروح وأذي أداه الله لنا هي روح القوة والمحبة وضبط النفس , ومشتيش روح الجبان ..</w:t>
      </w:r>
      <w:r>
        <w:rPr>
          <w:vertAlign w:val="superscript"/>
        </w:rPr>
        <w:t>8</w:t>
      </w:r>
      <w:r>
        <w:t xml:space="preserve">ولا تستحي بأن تشهد للمسيح , ولا تستحي مني أنا المحبوس على ميده . ومابلا توكلت على الله وقوته , وأتحمل نصيبك من ألام في سبيل ألأنجيل .. </w:t>
      </w:r>
      <w:r>
        <w:rPr>
          <w:vertAlign w:val="superscript"/>
        </w:rPr>
        <w:t>9</w:t>
      </w:r>
      <w:r>
        <w:t xml:space="preserve">وأن الله نجانا ودعانا لا حياة صالحة , ولا فضل علميد أعمالنا مابلا حين تيه هي مشيئته ونعمه علينا .. وهو ذي ادا لنا تيه النعمة وعن طريق وواسطة عيسى المسيح ومن قبل بداية الزمن .. </w:t>
      </w:r>
      <w:r>
        <w:rPr>
          <w:vertAlign w:val="superscript"/>
        </w:rPr>
        <w:t>10</w:t>
      </w:r>
      <w:r>
        <w:t xml:space="preserve">ليكن هو أعلنها لنا ذلحين لاما يجي عيسى المسيح ذي عينقذنا من هزيمة الموت وتنوير الحياة والخلود بالأنجيل .. </w:t>
      </w:r>
      <w:r>
        <w:rPr>
          <w:vertAlign w:val="superscript"/>
        </w:rPr>
        <w:t>11</w:t>
      </w:r>
      <w:r>
        <w:t>وأن الله خلاني للأنجيل داعية ورسول ومعلم ..</w:t>
      </w:r>
      <w:r>
        <w:rPr>
          <w:vertAlign w:val="superscript"/>
        </w:rPr>
        <w:t>12</w:t>
      </w:r>
      <w:r>
        <w:t xml:space="preserve">ولذية تحمل تيه المتاعب , لكني ما عد بين أستحيش , لانني داري بمن هو ذي انا مأمن به , ومتأكد بأنهو يقدر يحفظ لي وداعتي لا ذياك اليوم .. </w:t>
      </w:r>
    </w:p>
    <w:p>
      <w:pPr>
        <w:pBdr>
          <w:bottom w:val="single" w:sz="6" w:space="1" w:color="auto"/>
        </w:pBdr>
      </w:pPr>
      <w:r/>
      <w:r>
        <w:rPr>
          <w:vertAlign w:val="superscript"/>
        </w:rPr>
        <w:t>13</w:t>
      </w:r>
      <w:r>
        <w:t xml:space="preserve">وتمسك بالمبادئ السليمة ذي سمعتها مني , واتبعها وخليها مثال تقتدي به , ومع الايمان والمحبة في عيسى المسيح .. </w:t>
      </w:r>
      <w:r>
        <w:rPr>
          <w:vertAlign w:val="superscript"/>
        </w:rPr>
        <w:t>14</w:t>
      </w:r>
      <w:r>
        <w:t>والوديعة الصالحة ذي وكلتك بها , حافظ عليها وبعون الروح القدوس اذي حل فينا ..</w:t>
      </w:r>
      <w:r>
        <w:rPr>
          <w:vertAlign w:val="superscript"/>
        </w:rPr>
        <w:t>15</w:t>
      </w:r>
      <w:r>
        <w:t xml:space="preserve">وانت داري بانهو كل ذي هم في قارة أسيا قد تبرو مني بمن فيهم فو غالي وأرماجني . </w:t>
      </w:r>
      <w:r>
        <w:rPr>
          <w:vertAlign w:val="superscript"/>
        </w:rPr>
        <w:t>16</w:t>
      </w:r>
      <w:r>
        <w:t xml:space="preserve">وأسأل المسيح بأن يحسن لأسرته أنيس , لانهو قد ريحني كم من مرات خيرات وما بيستحيش مني أبدآ وأنا بالحبس .. </w:t>
      </w:r>
      <w:r>
        <w:rPr>
          <w:vertAlign w:val="superscript"/>
        </w:rPr>
        <w:t>17</w:t>
      </w:r>
      <w:r>
        <w:t xml:space="preserve">مابلا لاما كان في روما , دور عليا وأجتهد لاما لقيني .. </w:t>
      </w:r>
      <w:r>
        <w:rPr>
          <w:vertAlign w:val="superscript"/>
        </w:rPr>
        <w:t>18</w:t>
      </w:r>
      <w:r>
        <w:t>أسأل المسيح بأن يحسن له وبأحسان ربي في ذياك اليوم . ياتيمو تاوس , أنت داري بأن الخدمات خيرات أذي قدمها ذيه الأخ في أفاسس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وأنت ياولدي , خليك قوي بالنعمة أذي في عيسى المسيح .. </w:t>
      </w:r>
      <w:r>
        <w:rPr>
          <w:vertAlign w:val="superscript"/>
        </w:rPr>
        <w:t>2</w:t>
      </w:r>
      <w:r>
        <w:t>والحاجات ذي انت سمعتها مني في وجود الشهود وخيرات , وسلمها لناس أمينين ومعاهم القدرة على تعليم الثانيين والكل ..</w:t>
      </w:r>
      <w:r>
        <w:rPr>
          <w:vertAlign w:val="superscript"/>
        </w:rPr>
        <w:t>3</w:t>
      </w:r>
      <w:r>
        <w:t xml:space="preserve">وأتحمل نصيبك من الأم كعسكري وفي ومخلص لعيسى المسيح .. </w:t>
      </w:r>
      <w:r>
        <w:rPr>
          <w:vertAlign w:val="superscript"/>
        </w:rPr>
        <w:t>4</w:t>
      </w:r>
      <w:r>
        <w:t xml:space="preserve">والعسكري ذي يشتي يرضي قايده فلا ينشغلش بأمور الحياة المدنية .. </w:t>
      </w:r>
      <w:r>
        <w:rPr>
          <w:vertAlign w:val="superscript"/>
        </w:rPr>
        <w:t>5</w:t>
      </w:r>
      <w:r>
        <w:t>واللاعب ذي عيشارك في مباراة , ما بيفوز بالجايزة الا لو كان بيحترم قواعد المباراة ..</w:t>
      </w:r>
      <w:r>
        <w:rPr>
          <w:vertAlign w:val="superscript"/>
        </w:rPr>
        <w:t>6</w:t>
      </w:r>
      <w:r>
        <w:t xml:space="preserve">والفلاح ذي بيتعب في الحقل , لازم بأن يوقع أول من يشل نصيبه من الغلة .. </w:t>
      </w:r>
      <w:r>
        <w:rPr>
          <w:vertAlign w:val="superscript"/>
        </w:rPr>
        <w:t>7</w:t>
      </w:r>
      <w:r>
        <w:t>وفكر بما بين أقول , والمسيح عيساعدك علميد تفهم كل حاجة ..</w:t>
      </w:r>
      <w:r>
        <w:rPr>
          <w:vertAlign w:val="superscript"/>
        </w:rPr>
        <w:t>8</w:t>
      </w:r>
      <w:r>
        <w:t xml:space="preserve">وتذكر عيسى المسيح ذي قام من الموت , وذي هو من نسل داؤد . وذيه هو الأنجيل ذي بشروه به , </w:t>
      </w:r>
      <w:r>
        <w:rPr>
          <w:vertAlign w:val="superscript"/>
        </w:rPr>
        <w:t>9</w:t>
      </w:r>
      <w:r>
        <w:t xml:space="preserve">وبين أعاني من الأم في سبيله , لدرجة أني محبوس هانا ساع المجرم . لكن كلمة الله ما بتحتبسش .. </w:t>
      </w:r>
      <w:r>
        <w:rPr>
          <w:vertAlign w:val="superscript"/>
        </w:rPr>
        <w:t>10</w:t>
      </w:r>
      <w:r>
        <w:t>ولذيه تحمل كل حاجة علميد المختارين يوقع لهم هم والكل على النجاة عن طريق عيسى المسيح , وعلى الجلال مدى الحياة ..</w:t>
      </w:r>
      <w:r>
        <w:rPr>
          <w:vertAlign w:val="superscript"/>
        </w:rPr>
        <w:t>11</w:t>
      </w:r>
      <w:r>
        <w:t xml:space="preserve">وذيه هو كلام حق : لا متنا معه عنحيا معه .. </w:t>
      </w:r>
      <w:r>
        <w:rPr>
          <w:vertAlign w:val="superscript"/>
        </w:rPr>
        <w:t>12</w:t>
      </w:r>
      <w:r>
        <w:t xml:space="preserve">وأن ثبتنا عليه عنملك معه . وأن أنكرناه فهو والكل عينكرنا </w:t>
      </w:r>
      <w:r>
        <w:rPr>
          <w:vertAlign w:val="superscript"/>
        </w:rPr>
        <w:t>13</w:t>
      </w:r>
      <w:r>
        <w:t>وأن كنا محناش أمينين فبيقى هو الأمين , لانهو مايقدرش ينكر نفسه ..</w:t>
      </w:r>
      <w:r>
        <w:rPr>
          <w:vertAlign w:val="superscript"/>
        </w:rPr>
        <w:t>14</w:t>
      </w:r>
      <w:r>
        <w:t xml:space="preserve">وذكرهم بتيه الأمور, وحذرهم وبوجود الله علميد المداحسة لانها ما بتنفعش في أي حاجة مابلا بتهدم اذي بيسمعو .. </w:t>
      </w:r>
      <w:r>
        <w:rPr>
          <w:vertAlign w:val="superscript"/>
        </w:rPr>
        <w:t>15</w:t>
      </w:r>
      <w:r>
        <w:t>وأفعل بأقوى ماعندك علميد يرضى الله عنك , وتوقع خادم ما يستحيش من خدمته , وتفسر كلام الحق تفسير صحيح ..</w:t>
      </w:r>
      <w:r>
        <w:rPr>
          <w:vertAlign w:val="superscript"/>
        </w:rPr>
        <w:t>16</w:t>
      </w:r>
      <w:r>
        <w:t xml:space="preserve">وتبتعد من المجابر الفارغة والتافهة , فذي بينشغلو به بيزدادو كفر , </w:t>
      </w:r>
      <w:r>
        <w:rPr>
          <w:vertAlign w:val="superscript"/>
        </w:rPr>
        <w:t>17</w:t>
      </w:r>
      <w:r>
        <w:t xml:space="preserve">وتعليمهم بينتشر ساع السرطان في الجسم . ومنهم مثل همنايس وفلتوس , </w:t>
      </w:r>
      <w:r>
        <w:rPr>
          <w:vertAlign w:val="superscript"/>
        </w:rPr>
        <w:t>18</w:t>
      </w:r>
      <w:r>
        <w:t>لانهم ضلو عن الحق , وبيقولو أن قيامة الأموات قد وقعت من صدق ,فيهدمو أيمان شوية من الأفراد ..</w:t>
      </w:r>
      <w:r>
        <w:rPr>
          <w:vertAlign w:val="superscript"/>
        </w:rPr>
        <w:t>19</w:t>
      </w:r>
      <w:r>
        <w:t xml:space="preserve">لكن الأساس ذي طرحه الله يجلس ثابت , وعليه ذيه الختم : ربنا يعرف ذي هم له " وزد والكل : كل من بيعبد ربنا , لازم ما يبتعد من الشر .. </w:t>
      </w:r>
      <w:r>
        <w:rPr>
          <w:vertAlign w:val="superscript"/>
        </w:rPr>
        <w:t>20</w:t>
      </w:r>
      <w:r>
        <w:t xml:space="preserve">في بيت كبير , توجد معشرة من كل الأنواع . شوية منها من ذهب ومن فضة , وشوية من خشب ومن الفخار , وشوية لاستخدام كريم , وشوية لاستخدام حقير .. </w:t>
      </w:r>
      <w:r>
        <w:rPr>
          <w:vertAlign w:val="superscript"/>
        </w:rPr>
        <w:t>21</w:t>
      </w:r>
      <w:r>
        <w:t>وأن كان كل واحد بيحفط نفسه وطاهر من ذولايه الشرور اذي ذكرتها , عيوقع معشره كريم ومخصص لله , نافع لخدمة السيد , ومستعد لكل الاعمال الصالحة ..</w:t>
      </w:r>
      <w:r>
        <w:rPr>
          <w:vertAlign w:val="superscript"/>
        </w:rPr>
        <w:t>22</w:t>
      </w:r>
      <w:r>
        <w:t xml:space="preserve">وأنتبه من شهوات الشباب , وتبع الصلاح والأيمان والمحبة والسلام مع ذي بيدعو المسيح بقلب طاهر .. </w:t>
      </w:r>
      <w:r>
        <w:rPr>
          <w:vertAlign w:val="superscript"/>
        </w:rPr>
        <w:t>23</w:t>
      </w:r>
      <w:r>
        <w:t>وأنتبه من النقاشات التافهة السامجة , لأنك داري بأنها عتسبب لا زعل ..</w:t>
      </w:r>
      <w:r>
        <w:rPr>
          <w:vertAlign w:val="superscript"/>
        </w:rPr>
        <w:t>24</w:t>
      </w:r>
      <w:r>
        <w:t xml:space="preserve">وخادم المسيح ما يحق له بأن يتزاعل , مابلا لازم ما يشفق على الكل , ويكون قادر على أن يدرى , وصبور , </w:t>
      </w:r>
      <w:r>
        <w:rPr>
          <w:vertAlign w:val="superscript"/>
        </w:rPr>
        <w:t>25</w:t>
      </w:r>
      <w:r>
        <w:t xml:space="preserve">ويصحح ذي بيعارضوه بحنية وطيبة , لعل الله يدي لهم ويتوبو ويعرفو الحق , </w:t>
      </w:r>
      <w:r>
        <w:rPr>
          <w:vertAlign w:val="superscript"/>
        </w:rPr>
        <w:t>26</w:t>
      </w:r>
      <w:r>
        <w:t>علميد يرجعو لوعيهم ويهربو من فخ ابليس ذي أصدادهم ويفعلو له مايشتي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وأشتي أكون أذكرك وكأنهو في الأيام الأخيرة وتجي أوقات صعبة .. </w:t>
      </w:r>
      <w:r>
        <w:rPr>
          <w:vertAlign w:val="superscript"/>
        </w:rPr>
        <w:t>2</w:t>
      </w:r>
      <w:r>
        <w:t xml:space="preserve">ويوقع الناس محبين لأنفسهم , وبيحبو الزلط , ومتكبرين , ومغرورين , ملاعنين , ومشهم مطيعين للوالدين , وناكرين للجميل , وفاسدين , </w:t>
      </w:r>
      <w:r>
        <w:rPr>
          <w:vertAlign w:val="superscript"/>
        </w:rPr>
        <w:t>3</w:t>
      </w:r>
      <w:r>
        <w:t xml:space="preserve">ومابش شفقة , وماشهم متسامحين , وبيفتروا , ومتهورين , وشرسين , وبيكرهو الخير ,, </w:t>
      </w:r>
      <w:r>
        <w:rPr>
          <w:vertAlign w:val="superscript"/>
        </w:rPr>
        <w:t>4</w:t>
      </w:r>
      <w:r>
        <w:t>خاينين , وطايشين , ومنفوخين بالكبرياء , وبيحبو الملذات أكثر من الله ,</w:t>
      </w:r>
      <w:r>
        <w:rPr>
          <w:vertAlign w:val="superscript"/>
        </w:rPr>
        <w:t>5</w:t>
      </w:r>
      <w:r>
        <w:t xml:space="preserve">وبيتمسكو بمظاهر التقوى ليكن هم بيرفضو قوتها الفعالة. وأبتعد وأرحلي من ذوليه الناس .. </w:t>
      </w:r>
    </w:p>
    <w:p>
      <w:pPr>
        <w:pBdr>
          <w:bottom w:val="single" w:sz="6" w:space="1" w:color="auto"/>
        </w:pBdr>
      </w:pPr>
      <w:r/>
      <w:r>
        <w:rPr>
          <w:vertAlign w:val="superscript"/>
        </w:rPr>
        <w:t>6</w:t>
      </w:r>
      <w:r>
        <w:t xml:space="preserve">لان شوية منهم بيندس بين الاسر, ويحب النسوان الضعيفات ومثقلات بالذنوب , وبيخطين لكل أنواع الشهوات , </w:t>
      </w:r>
      <w:r>
        <w:rPr>
          <w:vertAlign w:val="superscript"/>
        </w:rPr>
        <w:t>7</w:t>
      </w:r>
      <w:r>
        <w:t>وبيتعلمين دايمآ , ليكن ما يقدرينش بأن يدرين بالحق أبدآ ..</w:t>
      </w:r>
      <w:r>
        <w:rPr>
          <w:vertAlign w:val="superscript"/>
        </w:rPr>
        <w:t>8</w:t>
      </w:r>
      <w:r>
        <w:t xml:space="preserve">مع انهو ينيس ويمبريس عارضو موسى , وزد ذولايه الناس بيعارضو الحق , وعقولهم خاربة , وهم مشهم من أهل الأيمان .. </w:t>
      </w:r>
      <w:r>
        <w:rPr>
          <w:vertAlign w:val="superscript"/>
        </w:rPr>
        <w:t>9</w:t>
      </w:r>
      <w:r>
        <w:t>ليكن هم ما عيتقدموش خيرات , لأن غبائهم عيكتشف وبوضوح للكل سعما اكتشفت غباوة ينيس ويمبريس ..</w:t>
      </w:r>
      <w:r>
        <w:rPr>
          <w:vertAlign w:val="superscript"/>
        </w:rPr>
        <w:t>10</w:t>
      </w:r>
      <w:r>
        <w:t xml:space="preserve">أما أنت فأنك داري بكل حاجة عن عقيدتي وسلوكي وهدفي وأيماني وصبري ومحبتي وثباتي </w:t>
      </w:r>
      <w:r>
        <w:rPr>
          <w:vertAlign w:val="superscript"/>
        </w:rPr>
        <w:t>11</w:t>
      </w:r>
      <w:r>
        <w:t xml:space="preserve">والمشاكل والالأم ذي أبسرتها . أنت داري بكل ما وقع لي في أنطاكية وأيقونة ولسترة : وكانت مشاكل مفجعة , ليكن المسيح أنقذني منهن كلهن .. </w:t>
      </w:r>
      <w:r>
        <w:rPr>
          <w:vertAlign w:val="superscript"/>
        </w:rPr>
        <w:t>12</w:t>
      </w:r>
      <w:r>
        <w:t xml:space="preserve">وكل من يشتي بأن يعيش بالتقوى كمؤمن بعيسى المسيح , عيعايره الناس .. </w:t>
      </w:r>
      <w:r>
        <w:rPr>
          <w:vertAlign w:val="superscript"/>
        </w:rPr>
        <w:t>13</w:t>
      </w:r>
      <w:r>
        <w:t>اما الاشرار والنصابين بيزدادو شر , وبيخدعو غيرهم وبيخدعو أنفسهم ..</w:t>
      </w:r>
      <w:r>
        <w:rPr>
          <w:vertAlign w:val="superscript"/>
        </w:rPr>
        <w:t>14</w:t>
      </w:r>
      <w:r>
        <w:t xml:space="preserve">أما أنت فأثبت على المبادئ ذي تعلمتها وأمنت فيها . وتذكر على يد من تعلمت ذيه .. </w:t>
      </w:r>
      <w:r>
        <w:rPr>
          <w:vertAlign w:val="superscript"/>
        </w:rPr>
        <w:t>15</w:t>
      </w:r>
      <w:r>
        <w:t>لأنك من حين وعادك جاهل وانت داري بكتاب الله ذي بيخليك حكيم علميد تفوز بالنجاة بالأيمان بعيسى المسيح ..</w:t>
      </w:r>
      <w:r>
        <w:rPr>
          <w:vertAlign w:val="superscript"/>
        </w:rPr>
        <w:t>16</w:t>
      </w:r>
      <w:r>
        <w:t xml:space="preserve">وكل كتاب وهو موحى به من الله , وعينفع لتعليم الحق , وتأديب الضلال , وتصحيح الخطاء , والأرشاد للصلاح .. </w:t>
      </w:r>
      <w:r>
        <w:rPr>
          <w:vertAlign w:val="superscript"/>
        </w:rPr>
        <w:t>17</w:t>
      </w:r>
      <w:r>
        <w:t>علميد يوقع الشخص ذي بينتمي لله مجهز ومؤهل ويقوم بكل عمل صالح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عيجي عيسى المسيح ويملك ويحاسب الأحياء والأموات . ولذيه أوصيك قدام الله وقدام المسيح </w:t>
      </w:r>
      <w:r>
        <w:rPr>
          <w:vertAlign w:val="superscript"/>
        </w:rPr>
        <w:t>2</w:t>
      </w:r>
      <w:r>
        <w:t>بأن تدعي بكلام الله . وتكون مستعد لذيه , سواء كان الوقت مناسب أو مشهو مناسب . أدبهم وحذرهم وشجعهم , وكون صبور قوي وانت بتعلمهم ..</w:t>
      </w:r>
      <w:r>
        <w:rPr>
          <w:vertAlign w:val="superscript"/>
        </w:rPr>
        <w:t>3</w:t>
      </w:r>
      <w:r>
        <w:t xml:space="preserve">لانهو عيجي وقت وفيه ما يتحملش الناس العقيدة الصحيحة , مابلا بيجمعو لأنفسهم معلمين على كيفهم وهواهم , ويحاكوهم بذي عيطرب أذانهم .. </w:t>
      </w:r>
      <w:r>
        <w:rPr>
          <w:vertAlign w:val="superscript"/>
        </w:rPr>
        <w:t>4</w:t>
      </w:r>
      <w:r>
        <w:t xml:space="preserve">وهم بيسدو أذانهم وما يشتوش يسمعو الحق , وبيحترفو ويصدقو التخاريف .. </w:t>
      </w:r>
      <w:r>
        <w:rPr>
          <w:vertAlign w:val="superscript"/>
        </w:rPr>
        <w:t>5</w:t>
      </w:r>
      <w:r>
        <w:t>أما أنت فخليك صاحي في كل حاجة . وتحمل الصعوبات . وقوم بعمل البشير . وقوم بخدمتك خير قيام ..</w:t>
      </w:r>
      <w:r>
        <w:rPr>
          <w:vertAlign w:val="superscript"/>
        </w:rPr>
        <w:t>6</w:t>
      </w:r>
      <w:r>
        <w:t xml:space="preserve">أما أنا فقد جت الساعة علميد أضحي بحياتي بحد ذاتها , وجا الوقت ذي انقل من تيه الحياة الدنيا .. </w:t>
      </w:r>
      <w:r>
        <w:rPr>
          <w:vertAlign w:val="superscript"/>
        </w:rPr>
        <w:t>7</w:t>
      </w:r>
      <w:r>
        <w:t xml:space="preserve">وجاهدت الجهاد الحسن , وكملت السباق , وحافظت على الأيمان .. </w:t>
      </w:r>
      <w:r>
        <w:rPr>
          <w:vertAlign w:val="superscript"/>
        </w:rPr>
        <w:t>8</w:t>
      </w:r>
      <w:r>
        <w:t>وذلحين مريع لي أكليل الصالحين , ذي عيقدمه لي في ذياك اليوم , المسيح القاضي العادل . ومشهو أنا وحدي , مابلا لكل ذي مريعين جيته بشوق</w:t>
      </w:r>
      <w:r>
        <w:rPr>
          <w:vertAlign w:val="superscript"/>
        </w:rPr>
        <w:t>9</w:t>
      </w:r>
      <w:r>
        <w:t xml:space="preserve">وأبذل كل جهدك علميد تجي بسرعة , </w:t>
      </w:r>
      <w:r>
        <w:rPr>
          <w:vertAlign w:val="superscript"/>
        </w:rPr>
        <w:t>10</w:t>
      </w:r>
      <w:r>
        <w:t>لأن ديماس حب تيه الدنيا , وفلتني وسار لا تسالونكي . كراس ذهب لا غلاطيه , وتيتوس لا دلماطيه ..</w:t>
      </w:r>
      <w:r>
        <w:rPr>
          <w:vertAlign w:val="superscript"/>
        </w:rPr>
        <w:t>11</w:t>
      </w:r>
      <w:r>
        <w:t xml:space="preserve">لوقا وهو الوحيد الموجود معي لا ذلحين . مر على مرقس وأديه معك , لانهو بينفعني بالخدمة .. </w:t>
      </w:r>
      <w:r>
        <w:rPr>
          <w:vertAlign w:val="superscript"/>
        </w:rPr>
        <w:t>12</w:t>
      </w:r>
      <w:r>
        <w:t xml:space="preserve">وبزيت الشديد لا أفاسس .. </w:t>
      </w:r>
      <w:r>
        <w:rPr>
          <w:vertAlign w:val="superscript"/>
        </w:rPr>
        <w:t>13</w:t>
      </w:r>
      <w:r>
        <w:t>ولاما تجي , أدي معك العباية ذي فلتها مع قربس في ترواس , وادي الكتب والكل وخصوصآ مصاحف الجلد ..</w:t>
      </w:r>
      <w:r>
        <w:rPr>
          <w:vertAlign w:val="superscript"/>
        </w:rPr>
        <w:t>14</w:t>
      </w:r>
      <w:r>
        <w:t xml:space="preserve">أسكندر النحاس غلط عليا قوي , المسيح عيجازيه على أفعاله . </w:t>
      </w:r>
      <w:r>
        <w:rPr>
          <w:vertAlign w:val="superscript"/>
        </w:rPr>
        <w:t>15</w:t>
      </w:r>
      <w:r>
        <w:t xml:space="preserve">وأحذر منه , لانهو معارض لرسالتنا قوي .. </w:t>
      </w:r>
    </w:p>
    <w:p>
      <w:pPr>
        <w:pBdr>
          <w:bottom w:val="single" w:sz="6" w:space="1" w:color="auto"/>
        </w:pBdr>
      </w:pPr>
      <w:r/>
      <w:r>
        <w:rPr>
          <w:vertAlign w:val="superscript"/>
        </w:rPr>
        <w:t>16</w:t>
      </w:r>
      <w:r>
        <w:t>وبالمحاكمة الاولة حين دافعت على نفسي , ما جاش أحد علميد يدافع معي مابلا فلتوني كلهم . اللهم لاتحسب ذيه ضدهم ..</w:t>
      </w:r>
      <w:r>
        <w:rPr>
          <w:vertAlign w:val="superscript"/>
        </w:rPr>
        <w:t>17</w:t>
      </w:r>
      <w:r>
        <w:t xml:space="preserve">ليكن سيدي المسيح وقف معي وقواني , فمكني بـأن أبشر بالأنجيل كامل علميد يسمعه كل الاجانب . ونجيت من فم الأسد .. </w:t>
      </w:r>
      <w:r>
        <w:rPr>
          <w:vertAlign w:val="superscript"/>
        </w:rPr>
        <w:t>18</w:t>
      </w:r>
      <w:r>
        <w:t>وعينجيني سيدي من كل شر , وعيحفظني لاما يشلني لا مملكته في السماء . له الجلال لا أبد الأبدين . أمين</w:t>
      </w:r>
      <w:r>
        <w:rPr>
          <w:vertAlign w:val="superscript"/>
        </w:rPr>
        <w:t>19</w:t>
      </w:r>
      <w:r>
        <w:t xml:space="preserve">سلم على بركة وعقيل وأسرته أنيس .. </w:t>
      </w:r>
      <w:r>
        <w:rPr>
          <w:vertAlign w:val="superscript"/>
        </w:rPr>
        <w:t>20</w:t>
      </w:r>
      <w:r>
        <w:t xml:space="preserve">أرستس ذي بقي في كورنتوس . وفلت طريفي مريض في ميليتي .. </w:t>
      </w:r>
      <w:r>
        <w:rPr>
          <w:vertAlign w:val="superscript"/>
        </w:rPr>
        <w:t>21</w:t>
      </w:r>
      <w:r>
        <w:t xml:space="preserve">وابذل بكل ذي تقدر عليه علميد تجي قبل الشتاء . يوبلس وبويس ولينو وكولديا وكل الأخوة بيسلمو عليك .. </w:t>
      </w:r>
      <w:r>
        <w:rPr>
          <w:vertAlign w:val="superscript"/>
        </w:rPr>
        <w:t>22</w:t>
      </w:r>
      <w:r>
        <w:t>المسيح مع روحك . النعمة معاكم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